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标段号：二标段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触摸一体查询机</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671C94D0">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触摸一体查询机</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二标段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触摸一体查询机</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910-3-1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服务区智能终端</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l触摸屏：21”表面声波、防爆式，分辨率：1024×768；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l显示器：21”显示屏，分辨率：1024×768；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l机柜：钢制柜体，外表面进口金属漆，防磁、防静电；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l控制面板：电源开关（主机、显示器、音响、风扇）音量调谐、触摸屏运行监控指示；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l电源：最大功耗500W，开机瞬间电流5A.电压（AC220V）；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l音响：采用双声道，立体声环绕功放系统，输出功率2×40W；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l风扇：工控正轴流风扇，无噪音，循环散热；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l工作环境：操作温度（0-50度）湿度（40%-80%）储存温度（-20-70度）；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l网络接口：RJ45；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l体型：立式；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l其他：背景音乐播放控制，VCD光盘演示，网上浏览，数码摄像。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15,500.00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31,000.00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31,000.00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55645B0C">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标段号：二标段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标段名称：触摸一体查询机</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65C228C2">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12065"/>
      <w:bookmarkStart w:id="1" w:name="_Toc28816"/>
      <w:bookmarkStart w:id="2" w:name="_Toc26984"/>
      <w:bookmarkStart w:id="3" w:name="_Toc12382"/>
      <w:bookmarkStart w:id="4" w:name="_Toc22210"/>
      <w:bookmarkStart w:id="5" w:name="_Toc15367"/>
      <w:bookmarkStart w:id="6" w:name="_Toc3519"/>
      <w:bookmarkStart w:id="7" w:name="_Toc27757"/>
      <w:bookmarkStart w:id="8" w:name="_Toc21898"/>
      <w:bookmarkStart w:id="9" w:name="_Toc32017"/>
      <w:bookmarkStart w:id="10" w:name="_Toc32036"/>
      <w:bookmarkStart w:id="11" w:name="_Toc32420"/>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触摸一体查询机</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910-3-1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服务区智能终端</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15,500.00</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31,000.00</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1.请供应商如实报价，上限控制总价为31,000.00 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75FB3D91">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14:paraId="7A944995">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27793"/>
      <w:bookmarkStart w:id="16" w:name="_Toc4320"/>
      <w:bookmarkStart w:id="17" w:name="_Toc6803"/>
      <w:bookmarkStart w:id="18" w:name="_Toc14004"/>
      <w:bookmarkStart w:id="19" w:name="_Toc8988"/>
      <w:bookmarkStart w:id="20" w:name="_Toc12760"/>
      <w:bookmarkStart w:id="21" w:name="_Toc3073"/>
      <w:bookmarkStart w:id="22" w:name="_Toc26580"/>
      <w:bookmarkStart w:id="23" w:name="_Toc31390"/>
      <w:bookmarkStart w:id="24" w:name="_Toc11136"/>
      <w:bookmarkStart w:id="25" w:name="_Toc29385"/>
      <w:bookmarkStart w:id="26" w:name="_Toc21774"/>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Layout w:type="fixed"/>
        <w:tblCellMar>
          <w:top w:w="0" w:type="dxa"/>
          <w:left w:w="108" w:type="dxa"/>
          <w:bottom w:w="0" w:type="dxa"/>
          <w:right w:w="108" w:type="dxa"/>
        </w:tblCellMar>
      </w:tblPr>
      <w:tblGrid>
        <w:gridCol w:w="695"/>
        <w:gridCol w:w="854"/>
        <w:gridCol w:w="3660"/>
        <w:gridCol w:w="3480"/>
        <w:gridCol w:w="812"/>
      </w:tblGrid>
      <w:tr w14:paraId="49307811">
        <w:tblPrEx>
          <w:tblCellMar>
            <w:top w:w="0" w:type="dxa"/>
            <w:left w:w="108" w:type="dxa"/>
            <w:bottom w:w="0" w:type="dxa"/>
            <w:right w:w="108" w:type="dxa"/>
          </w:tblCellMar>
        </w:tblPrEx>
        <w:trPr>
          <w:trHeight w:val="442" w:hRule="atLeast"/>
          <w:jc w:val="center"/>
        </w:trPr>
        <w:tc>
          <w:tcPr>
            <w:tcW w:w="695" w:type="dxa"/>
            <w:vMerge w:val="restart"/>
            <w:tcBorders>
              <w:top w:val="single" w:color="auto" w:sz="8" w:space="0"/>
              <w:left w:val="single" w:color="auto" w:sz="8" w:space="0"/>
              <w:bottom w:val="single" w:color="000000" w:sz="8" w:space="0"/>
              <w:right w:val="single" w:color="auto" w:sz="8" w:space="0"/>
            </w:tcBorders>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tcBorders>
              <w:top w:val="single" w:color="auto" w:sz="8" w:space="0"/>
              <w:left w:val="nil"/>
              <w:bottom w:val="single" w:color="auto" w:sz="8" w:space="0"/>
              <w:right w:val="single" w:color="000000" w:sz="8" w:space="0"/>
            </w:tcBorders>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tcBorders>
              <w:top w:val="single" w:color="auto" w:sz="8" w:space="0"/>
              <w:left w:val="nil"/>
              <w:bottom w:val="single" w:color="auto" w:sz="8" w:space="0"/>
              <w:right w:val="single" w:color="000000" w:sz="8" w:space="0"/>
            </w:tcBorders>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tcBorders>
              <w:top w:val="single" w:color="auto" w:sz="8" w:space="0"/>
              <w:left w:val="single" w:color="auto" w:sz="8" w:space="0"/>
              <w:bottom w:val="single" w:color="000000" w:sz="8" w:space="0"/>
              <w:right w:val="single" w:color="auto" w:sz="8" w:space="0"/>
            </w:tcBorders>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CellMar>
            <w:top w:w="0" w:type="dxa"/>
            <w:left w:w="108" w:type="dxa"/>
            <w:bottom w:w="0" w:type="dxa"/>
            <w:right w:w="108" w:type="dxa"/>
          </w:tblCellMar>
        </w:tblPrEx>
        <w:trPr>
          <w:trHeight w:val="661" w:hRule="atLeast"/>
          <w:jc w:val="center"/>
        </w:trPr>
        <w:tc>
          <w:tcPr>
            <w:tcW w:w="695" w:type="dxa"/>
            <w:vMerge w:val="continue"/>
            <w:tcBorders>
              <w:top w:val="single" w:color="auto" w:sz="8" w:space="0"/>
              <w:left w:val="single" w:color="auto" w:sz="8" w:space="0"/>
              <w:bottom w:val="single" w:color="auto" w:sz="4" w:space="0"/>
              <w:right w:val="single" w:color="auto" w:sz="8" w:space="0"/>
            </w:tcBorders>
            <w:vAlign w:val="center"/>
          </w:tcPr>
          <w:p w14:paraId="760B95F8">
            <w:pPr>
              <w:widowControl/>
              <w:jc w:val="left"/>
              <w:rPr>
                <w:rFonts w:ascii="宋体" w:hAnsi="宋体" w:cs="宋体"/>
                <w:b/>
                <w:bCs/>
                <w:color w:val="auto"/>
                <w:kern w:val="0"/>
                <w:sz w:val="21"/>
                <w:szCs w:val="21"/>
                <w:highlight w:val="none"/>
              </w:rPr>
            </w:pPr>
          </w:p>
        </w:tc>
        <w:tc>
          <w:tcPr>
            <w:tcW w:w="854" w:type="dxa"/>
            <w:tcBorders>
              <w:top w:val="nil"/>
              <w:left w:val="nil"/>
              <w:bottom w:val="single" w:color="auto" w:sz="4" w:space="0"/>
              <w:right w:val="single" w:color="auto" w:sz="8" w:space="0"/>
            </w:tcBorders>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tcBorders>
              <w:top w:val="nil"/>
              <w:left w:val="nil"/>
              <w:bottom w:val="single" w:color="auto" w:sz="4" w:space="0"/>
              <w:right w:val="single" w:color="000000" w:sz="8" w:space="0"/>
            </w:tcBorders>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tcBorders>
              <w:top w:val="nil"/>
              <w:left w:val="nil"/>
              <w:bottom w:val="single" w:color="auto" w:sz="4" w:space="0"/>
              <w:right w:val="single" w:color="000000" w:sz="8" w:space="0"/>
            </w:tcBorders>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tcBorders>
              <w:top w:val="single" w:color="auto" w:sz="8" w:space="0"/>
              <w:left w:val="single" w:color="auto" w:sz="8" w:space="0"/>
              <w:bottom w:val="single" w:color="auto" w:sz="4" w:space="0"/>
              <w:right w:val="single" w:color="auto" w:sz="8" w:space="0"/>
            </w:tcBorders>
            <w:vAlign w:val="center"/>
          </w:tcPr>
          <w:p w14:paraId="0C48EFDA">
            <w:pPr>
              <w:widowControl/>
              <w:jc w:val="left"/>
              <w:rPr>
                <w:rFonts w:ascii="宋体" w:hAnsi="宋体" w:cs="宋体"/>
                <w:color w:val="auto"/>
                <w:kern w:val="0"/>
                <w:sz w:val="21"/>
                <w:szCs w:val="21"/>
                <w:highlight w:val="none"/>
              </w:rPr>
            </w:pPr>
          </w:p>
        </w:tc>
      </w:tr>
      <w:tr w14:paraId="75506E98">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910-3-1</w:t>
            </w:r>
          </w:p>
        </w:tc>
        <w:tc>
          <w:tcPr>
            <w:tcW w:w="854" w:type="dxa"/>
            <w:tcBorders>
              <w:top w:val="single" w:color="auto" w:sz="4" w:space="0"/>
              <w:left w:val="single" w:color="auto" w:sz="4" w:space="0"/>
              <w:bottom w:val="single" w:color="auto" w:sz="4" w:space="0"/>
              <w:right w:val="single" w:color="auto" w:sz="4" w:space="0"/>
            </w:tcBorders>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服务区智能终端</w:t>
            </w:r>
          </w:p>
        </w:tc>
        <w:tc>
          <w:tcPr>
            <w:tcW w:w="3660" w:type="dxa"/>
            <w:tcBorders>
              <w:top w:val="single" w:color="auto" w:sz="4" w:space="0"/>
              <w:left w:val="single" w:color="auto" w:sz="4" w:space="0"/>
              <w:bottom w:val="single" w:color="auto" w:sz="4" w:space="0"/>
              <w:right w:val="single" w:color="auto" w:sz="4" w:space="0"/>
            </w:tcBorders>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l触摸屏：21”表面声波、防爆式，分辨率：1024×768；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l显示器：21”显示屏，分辨率：1024×768；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l机柜：钢制柜体，外表面进口金属漆，防磁、防静电；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l控制面板：电源开关（主机、显示器、音响、风扇）音量调谐、触摸屏运行监控指示；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l电源：最大功耗500W，开机瞬间电流5A.电压（AC220V）；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l音响：采用双声道，立体声环绕功放系统，输出功率2×40W；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l风扇：工控正轴流风扇，无噪音，循环散热；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l工作环境：操作温度（0-50度）湿度（40%-80%）储存温度（-20-70度）；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l网络接口：RJ45；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l体型：立式；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l其他：背景音乐播放控制，VCD光盘演示，网上浏览，数码摄像。</w:t>
            </w:r>
          </w:p>
        </w:tc>
        <w:tc>
          <w:tcPr>
            <w:tcW w:w="3480" w:type="dxa"/>
            <w:tcBorders>
              <w:top w:val="single" w:color="auto" w:sz="4" w:space="0"/>
              <w:left w:val="single" w:color="auto" w:sz="4" w:space="0"/>
              <w:bottom w:val="single" w:color="auto" w:sz="4" w:space="0"/>
              <w:right w:val="single" w:color="auto" w:sz="4" w:space="0"/>
            </w:tcBorders>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1589C7B4">
            <w:pPr>
              <w:widowControl/>
              <w:jc w:val="center"/>
              <w:rPr>
                <w:color w:val="auto"/>
                <w:kern w:val="0"/>
                <w:sz w:val="21"/>
                <w:szCs w:val="21"/>
                <w:highlight w:val="none"/>
              </w:rPr>
            </w:pPr>
          </w:p>
        </w:tc>
      </w:tr>
    </w:tbl>
    <w:p w14:paraId="64D0897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606E89"/>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01B01"/>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7C5642"/>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2115</Words>
  <Characters>2376</Characters>
  <Lines>108</Lines>
  <Paragraphs>30</Paragraphs>
  <TotalTime>0</TotalTime>
  <ScaleCrop>false</ScaleCrop>
  <LinksUpToDate>false</LinksUpToDate>
  <CharactersWithSpaces>2490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6A0D585884394853862FE590D315BFF7_13</vt:lpwstr>
  </property>
</Properties>
</file>